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4"/>
        <w:gridCol w:w="1591"/>
        <w:gridCol w:w="1632"/>
        <w:gridCol w:w="2596"/>
        <w:gridCol w:w="1375"/>
      </w:tblGrid>
      <w:tr w:rsidR="006410AE" w:rsidTr="006410AE" w14:paraId="4741D07B" w14:textId="77777777">
        <w:tc>
          <w:tcPr>
            <w:tcW w:w="1964" w:type="dxa"/>
          </w:tcPr>
          <w:p w:rsidRPr="00E34763" w:rsidR="006410AE" w:rsidP="002E7099" w:rsidRDefault="006410AE"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1" w:type="dxa"/>
          </w:tcPr>
          <w:p w:rsidR="006410AE" w:rsidP="002E7099" w:rsidRDefault="006410AE" w14:paraId="2AECF525" w14:textId="77777777">
            <w:pPr>
              <w:pStyle w:val="Header"/>
              <w:rPr>
                <w:sz w:val="20"/>
                <w:szCs w:val="20"/>
              </w:rPr>
            </w:pPr>
            <w:r>
              <w:rPr>
                <w:sz w:val="20"/>
                <w:szCs w:val="20"/>
              </w:rPr>
              <w:t>XPOT:</w:t>
            </w:r>
          </w:p>
          <w:p w:rsidR="006410AE" w:rsidP="002E7099" w:rsidRDefault="006410AE" w14:paraId="6EFCA8FD" w14:textId="3925FC6F">
            <w:pPr>
              <w:pStyle w:val="Header"/>
              <w:rPr>
                <w:sz w:val="20"/>
                <w:szCs w:val="20"/>
              </w:rPr>
            </w:pPr>
            <w:r>
              <w:rPr>
                <w:sz w:val="20"/>
                <w:szCs w:val="20"/>
              </w:rPr>
              <w:t>036</w:t>
            </w:r>
          </w:p>
        </w:tc>
        <w:tc>
          <w:tcPr>
            <w:tcW w:w="1632" w:type="dxa"/>
          </w:tcPr>
          <w:p w:rsidR="006410AE" w:rsidP="002E7099" w:rsidRDefault="006410AE" w14:paraId="354722B9" w14:textId="6283A277">
            <w:pPr>
              <w:pStyle w:val="Header"/>
              <w:rPr>
                <w:sz w:val="20"/>
                <w:szCs w:val="20"/>
              </w:rPr>
            </w:pPr>
            <w:r>
              <w:rPr>
                <w:sz w:val="20"/>
                <w:szCs w:val="20"/>
              </w:rPr>
              <w:t>Site Ref:</w:t>
            </w:r>
          </w:p>
          <w:p w:rsidR="006410AE" w:rsidP="002E7099" w:rsidRDefault="006410AE" w14:paraId="050BEA5A" w14:textId="41313F21">
            <w:pPr>
              <w:pStyle w:val="Header"/>
              <w:rPr>
                <w:sz w:val="20"/>
                <w:szCs w:val="20"/>
              </w:rPr>
            </w:pPr>
            <w:r>
              <w:rPr>
                <w:sz w:val="20"/>
                <w:szCs w:val="20"/>
              </w:rPr>
              <w:t>21610 &amp; 21863</w:t>
            </w:r>
          </w:p>
        </w:tc>
        <w:tc>
          <w:tcPr>
            <w:tcW w:w="2596" w:type="dxa"/>
          </w:tcPr>
          <w:p w:rsidR="006410AE" w:rsidP="002E7099" w:rsidRDefault="006410AE" w14:paraId="352A3BB0" w14:textId="079B5AEE">
            <w:pPr>
              <w:pStyle w:val="Header"/>
              <w:rPr>
                <w:sz w:val="20"/>
                <w:szCs w:val="20"/>
              </w:rPr>
            </w:pPr>
            <w:r>
              <w:rPr>
                <w:sz w:val="20"/>
                <w:szCs w:val="20"/>
              </w:rPr>
              <w:t>LPA Ref:</w:t>
            </w:r>
          </w:p>
          <w:p w:rsidR="006410AE" w:rsidP="002E7099" w:rsidRDefault="006410AE" w14:paraId="3040A33C" w14:textId="366FD8A5">
            <w:pPr>
              <w:pStyle w:val="Header"/>
              <w:rPr>
                <w:sz w:val="20"/>
                <w:szCs w:val="20"/>
              </w:rPr>
            </w:pPr>
            <w:r>
              <w:rPr>
                <w:sz w:val="20"/>
                <w:szCs w:val="20"/>
              </w:rPr>
              <w:t>BTE/15/1366 &amp; BTE/17/1973</w:t>
            </w:r>
          </w:p>
        </w:tc>
        <w:tc>
          <w:tcPr>
            <w:tcW w:w="1375" w:type="dxa"/>
          </w:tcPr>
          <w:p w:rsidR="006410AE" w:rsidP="002E7099" w:rsidRDefault="006410AE" w14:paraId="3AC2F589" w14:textId="6DFC1D0D">
            <w:pPr>
              <w:pStyle w:val="Header"/>
              <w:rPr>
                <w:sz w:val="20"/>
                <w:szCs w:val="20"/>
              </w:rPr>
            </w:pPr>
            <w:r>
              <w:rPr>
                <w:sz w:val="20"/>
                <w:szCs w:val="20"/>
              </w:rPr>
              <w:t>SOND:</w:t>
            </w:r>
          </w:p>
          <w:p w:rsidR="006410AE" w:rsidP="002E7099" w:rsidRDefault="006410AE" w14:paraId="64526035" w14:textId="64D85B3C">
            <w:pPr>
              <w:pStyle w:val="Header"/>
              <w:rPr>
                <w:sz w:val="20"/>
                <w:szCs w:val="20"/>
              </w:rPr>
            </w:pPr>
            <w:r>
              <w:rPr>
                <w:sz w:val="20"/>
                <w:szCs w:val="20"/>
              </w:rPr>
              <w:t>2238</w:t>
            </w:r>
            <w:r w:rsidR="00513BC0">
              <w:rPr>
                <w:sz w:val="20"/>
                <w:szCs w:val="20"/>
              </w:rPr>
              <w:t xml:space="preserve"> </w:t>
            </w:r>
            <w:r>
              <w:rPr>
                <w:sz w:val="20"/>
                <w:szCs w:val="20"/>
              </w:rPr>
              <w:t>&amp; 2179</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6526F3F0">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010F90">
        <w:rPr>
          <w:color w:val="000000" w:themeColor="text1"/>
          <w:sz w:val="36"/>
          <w:szCs w:val="36"/>
        </w:rPr>
        <w:t>Braintree Central Ward</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276CB265">
      <w:pPr>
        <w:autoSpaceDE w:val="0"/>
        <w:autoSpaceDN w:val="0"/>
        <w:adjustRightInd w:val="0"/>
        <w:spacing w:after="0" w:line="240" w:lineRule="auto"/>
        <w:jc w:val="center"/>
        <w:rPr>
          <w:color w:val="000000" w:themeColor="text1"/>
          <w:sz w:val="36"/>
          <w:szCs w:val="36"/>
        </w:rPr>
      </w:pPr>
      <w:r w:rsidRPr="2B0A60A8" w:rsidR="000B3B13">
        <w:rPr>
          <w:color w:val="000000" w:themeColor="text1" w:themeTint="FF" w:themeShade="FF"/>
          <w:sz w:val="36"/>
          <w:szCs w:val="36"/>
        </w:rPr>
        <w:t>£</w:t>
      </w:r>
      <w:r w:rsidRPr="2B0A60A8" w:rsidR="00A74B6B">
        <w:rPr>
          <w:color w:val="000000" w:themeColor="text1" w:themeTint="FF" w:themeShade="FF"/>
          <w:sz w:val="36"/>
          <w:szCs w:val="36"/>
        </w:rPr>
        <w:t>2</w:t>
      </w:r>
      <w:r w:rsidRPr="2B0A60A8" w:rsidR="0FFE4DCD">
        <w:rPr>
          <w:color w:val="000000" w:themeColor="text1" w:themeTint="FF" w:themeShade="FF"/>
          <w:sz w:val="36"/>
          <w:szCs w:val="36"/>
        </w:rPr>
        <w:t>95,954</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A25E55" w14:paraId="36501C22" w14:textId="4E25EBBC">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B</w:t>
      </w:r>
      <w:r w:rsidR="00473411">
        <w:rPr>
          <w:color w:val="000000" w:themeColor="text1"/>
          <w:sz w:val="36"/>
          <w:szCs w:val="36"/>
        </w:rPr>
        <w:t xml:space="preserve">raintree Central </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00354367" w:rsidP="00473411" w:rsidRDefault="00A25E55" w14:paraId="0081AEF5" w14:textId="6C7481FA">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CM7 </w:t>
      </w:r>
      <w:r w:rsidR="00982088">
        <w:rPr>
          <w:color w:val="000000" w:themeColor="text1"/>
          <w:sz w:val="36"/>
          <w:szCs w:val="36"/>
        </w:rPr>
        <w:t>3JW</w:t>
      </w:r>
    </w:p>
    <w:p w:rsidRPr="00354367" w:rsidR="00982088" w:rsidP="00473411" w:rsidRDefault="00982088" w14:paraId="63C05C21" w14:textId="22882040">
      <w:pPr>
        <w:autoSpaceDE w:val="0"/>
        <w:autoSpaceDN w:val="0"/>
        <w:adjustRightInd w:val="0"/>
        <w:spacing w:after="0" w:line="240" w:lineRule="auto"/>
        <w:jc w:val="center"/>
        <w:rPr>
          <w:color w:val="000000" w:themeColor="text1"/>
          <w:sz w:val="36"/>
          <w:szCs w:val="36"/>
        </w:rPr>
      </w:pPr>
      <w:r>
        <w:rPr>
          <w:color w:val="000000" w:themeColor="text1"/>
          <w:sz w:val="36"/>
          <w:szCs w:val="36"/>
        </w:rPr>
        <w:t>CM7 2QT</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6B7E2A" w14:paraId="4D1513EE" w14:textId="5B30EFA0">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Pr="00C13A28" w:rsidR="00DE77F4" w:rsidP="00C13A28" w:rsidRDefault="00DE77F4" w14:paraId="6E970D91"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410AE" w:rsidP="006410AE" w:rsidRDefault="006410AE" w14:paraId="447D1481"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410AE"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410AE" w:rsidP="006410AE" w:rsidRDefault="006410AE" w14:paraId="313136FD"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2B0A60A8" w14:paraId="28600D28" w14:textId="77777777">
        <w:trPr>
          <w:trHeight w:val="396"/>
        </w:trPr>
        <w:tc>
          <w:tcPr>
            <w:tcW w:w="10605" w:type="dxa"/>
            <w:tcMar/>
          </w:tcPr>
          <w:p w:rsidRPr="00CE3F0F" w:rsidR="3E513A4D" w:rsidP="38C22354" w:rsidRDefault="007364A8" w14:paraId="4CE62C04" w14:textId="0CDB1B44">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r w:rsidR="00586C8E">
              <w:rPr>
                <w:color w:val="000000" w:themeColor="text1"/>
                <w:sz w:val="22"/>
                <w:szCs w:val="22"/>
              </w:rPr>
              <w:t xml:space="preserve">Braintree Central Ward </w:t>
            </w:r>
            <w:r w:rsidRPr="00CE3F0F" w:rsidR="001D2114">
              <w:rPr>
                <w:color w:val="000000" w:themeColor="text1"/>
                <w:sz w:val="22"/>
                <w:szCs w:val="22"/>
              </w:rPr>
              <w:t>(</w:t>
            </w:r>
            <w:r w:rsidRPr="00CE3F0F" w:rsidR="009D34EE">
              <w:rPr>
                <w:color w:val="000000" w:themeColor="text1"/>
                <w:sz w:val="22"/>
                <w:szCs w:val="22"/>
              </w:rPr>
              <w:t>postcode</w:t>
            </w:r>
            <w:r w:rsidRPr="00CE3F0F" w:rsidR="001D2114">
              <w:rPr>
                <w:color w:val="000000" w:themeColor="text1"/>
                <w:sz w:val="22"/>
                <w:szCs w:val="22"/>
              </w:rPr>
              <w:t>s CM7</w:t>
            </w:r>
            <w:r w:rsidR="00583712">
              <w:rPr>
                <w:color w:val="000000" w:themeColor="text1"/>
                <w:sz w:val="22"/>
                <w:szCs w:val="22"/>
              </w:rPr>
              <w:t xml:space="preserve"> </w:t>
            </w:r>
            <w:r w:rsidR="0068383C">
              <w:rPr>
                <w:color w:val="000000" w:themeColor="text1"/>
                <w:sz w:val="22"/>
                <w:szCs w:val="22"/>
              </w:rPr>
              <w:t>3JW &amp; CM7 2QT</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3B38F231">
            <w:pPr>
              <w:pStyle w:val="ListParagraph"/>
              <w:numPr>
                <w:ilvl w:val="1"/>
                <w:numId w:val="1"/>
              </w:numPr>
              <w:spacing w:before="240" w:after="600"/>
              <w:ind w:right="288"/>
              <w:rPr>
                <w:sz w:val="22"/>
                <w:szCs w:val="22"/>
              </w:rPr>
            </w:pPr>
            <w:r w:rsidRPr="2B0A60A8" w:rsidR="3E513A4D">
              <w:rPr>
                <w:sz w:val="22"/>
                <w:szCs w:val="22"/>
              </w:rPr>
              <w:t>Essex County Council has received</w:t>
            </w:r>
            <w:r w:rsidRPr="2B0A60A8" w:rsidR="6253E872">
              <w:rPr>
                <w:color w:val="000000" w:themeColor="text1" w:themeTint="FF" w:themeShade="FF"/>
                <w:sz w:val="22"/>
                <w:szCs w:val="22"/>
              </w:rPr>
              <w:t xml:space="preserve"> </w:t>
            </w:r>
            <w:r w:rsidRPr="2B0A60A8" w:rsidR="4B09B6CB">
              <w:rPr>
                <w:color w:val="000000" w:themeColor="text1" w:themeTint="FF" w:themeShade="FF"/>
                <w:sz w:val="22"/>
                <w:szCs w:val="22"/>
              </w:rPr>
              <w:t xml:space="preserve">a </w:t>
            </w:r>
            <w:r w:rsidRPr="2B0A60A8" w:rsidR="6253E872">
              <w:rPr>
                <w:color w:val="000000" w:themeColor="text1" w:themeTint="FF" w:themeShade="FF"/>
                <w:sz w:val="22"/>
                <w:szCs w:val="22"/>
              </w:rPr>
              <w:t xml:space="preserve">contribution of </w:t>
            </w:r>
            <w:r w:rsidRPr="2B0A60A8" w:rsidR="64DC2AD3">
              <w:rPr>
                <w:b w:val="1"/>
                <w:bCs w:val="1"/>
                <w:color w:val="000000" w:themeColor="text1" w:themeTint="FF" w:themeShade="FF"/>
                <w:sz w:val="22"/>
                <w:szCs w:val="22"/>
              </w:rPr>
              <w:t>£</w:t>
            </w:r>
            <w:r w:rsidRPr="2B0A60A8" w:rsidR="4B09B6CB">
              <w:rPr>
                <w:b w:val="1"/>
                <w:bCs w:val="1"/>
                <w:color w:val="000000" w:themeColor="text1" w:themeTint="FF" w:themeShade="FF"/>
                <w:sz w:val="22"/>
                <w:szCs w:val="22"/>
              </w:rPr>
              <w:t>29</w:t>
            </w:r>
            <w:r w:rsidRPr="2B0A60A8" w:rsidR="41C8321F">
              <w:rPr>
                <w:b w:val="1"/>
                <w:bCs w:val="1"/>
                <w:color w:val="000000" w:themeColor="text1" w:themeTint="FF" w:themeShade="FF"/>
                <w:sz w:val="22"/>
                <w:szCs w:val="22"/>
              </w:rPr>
              <w:t xml:space="preserve">5,954 </w:t>
            </w:r>
            <w:r w:rsidRPr="2B0A60A8" w:rsidR="3E513A4D">
              <w:rPr>
                <w:sz w:val="22"/>
                <w:szCs w:val="22"/>
              </w:rPr>
              <w:t>which is to be used to support childcare providers to create a minimum of</w:t>
            </w:r>
            <w:r w:rsidRPr="2B0A60A8" w:rsidR="3E513A4D">
              <w:rPr>
                <w:b w:val="1"/>
                <w:bCs w:val="1"/>
                <w:sz w:val="22"/>
                <w:szCs w:val="22"/>
              </w:rPr>
              <w:t xml:space="preserve"> </w:t>
            </w:r>
            <w:r w:rsidRPr="2B0A60A8" w:rsidR="6B71FA30">
              <w:rPr>
                <w:b w:val="1"/>
                <w:bCs w:val="1"/>
                <w:sz w:val="22"/>
                <w:szCs w:val="22"/>
              </w:rPr>
              <w:t>1</w:t>
            </w:r>
            <w:r w:rsidRPr="2B0A60A8" w:rsidR="4DDA67C6">
              <w:rPr>
                <w:b w:val="1"/>
                <w:bCs w:val="1"/>
                <w:sz w:val="22"/>
                <w:szCs w:val="22"/>
              </w:rPr>
              <w:t>3</w:t>
            </w:r>
            <w:r w:rsidRPr="2B0A60A8" w:rsidR="4142507D">
              <w:rPr>
                <w:sz w:val="22"/>
                <w:szCs w:val="22"/>
              </w:rPr>
              <w:t xml:space="preserve"> </w:t>
            </w:r>
            <w:r w:rsidRPr="2B0A60A8" w:rsidR="3E513A4D">
              <w:rPr>
                <w:b w:val="1"/>
                <w:bCs w:val="1"/>
                <w:sz w:val="22"/>
                <w:szCs w:val="22"/>
              </w:rPr>
              <w:t>additional</w:t>
            </w:r>
            <w:r w:rsidRPr="2B0A60A8" w:rsidR="3E513A4D">
              <w:rPr>
                <w:b w:val="1"/>
                <w:bCs w:val="1"/>
                <w:sz w:val="22"/>
                <w:szCs w:val="22"/>
              </w:rPr>
              <w:t xml:space="preserve"> childcare place</w:t>
            </w:r>
            <w:r w:rsidRPr="2B0A60A8" w:rsidR="7F97DBB3">
              <w:rPr>
                <w:b w:val="1"/>
                <w:bCs w:val="1"/>
                <w:sz w:val="22"/>
                <w:szCs w:val="22"/>
              </w:rPr>
              <w:t>s</w:t>
            </w:r>
            <w:r w:rsidRPr="2B0A60A8" w:rsidR="3E513A4D">
              <w:rPr>
                <w:b w:val="1"/>
                <w:bCs w:val="1"/>
                <w:sz w:val="22"/>
                <w:szCs w:val="22"/>
              </w:rPr>
              <w:t>.</w:t>
            </w:r>
            <w:r w:rsidRPr="2B0A60A8" w:rsidR="3E513A4D">
              <w:rPr>
                <w:sz w:val="22"/>
                <w:szCs w:val="22"/>
              </w:rPr>
              <w:t xml:space="preserve"> The </w:t>
            </w:r>
            <w:r w:rsidRPr="2B0A60A8" w:rsidR="3E513A4D">
              <w:rPr>
                <w:sz w:val="22"/>
                <w:szCs w:val="22"/>
              </w:rPr>
              <w:t>additional</w:t>
            </w:r>
            <w:r w:rsidRPr="2B0A60A8" w:rsidR="3E513A4D">
              <w:rPr>
                <w:sz w:val="22"/>
                <w:szCs w:val="22"/>
              </w:rPr>
              <w:t xml:space="preserve"> resource must be </w:t>
            </w:r>
            <w:r w:rsidRPr="2B0A60A8" w:rsidR="3E513A4D">
              <w:rPr>
                <w:sz w:val="22"/>
                <w:szCs w:val="22"/>
              </w:rPr>
              <w:t>located</w:t>
            </w:r>
            <w:r w:rsidRPr="2B0A60A8" w:rsidR="3E513A4D">
              <w:rPr>
                <w:sz w:val="22"/>
                <w:szCs w:val="22"/>
              </w:rPr>
              <w:t xml:space="preserve"> </w:t>
            </w:r>
            <w:r w:rsidRPr="2B0A60A8" w:rsidR="4DDA67C6">
              <w:rPr>
                <w:b w:val="1"/>
                <w:bCs w:val="1"/>
                <w:sz w:val="22"/>
                <w:szCs w:val="22"/>
              </w:rPr>
              <w:t xml:space="preserve">within Braintree Central Ward. </w:t>
            </w:r>
          </w:p>
          <w:p w:rsidR="4B9C7496" w:rsidP="006745EA" w:rsidRDefault="5E518449" w14:paraId="7B23F6D0" w14:textId="0604F345">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173F79">
              <w:rPr>
                <w:rFonts w:eastAsia="Arial"/>
                <w:sz w:val="22"/>
                <w:szCs w:val="22"/>
              </w:rPr>
              <w:t>4</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Braintree Central Ward.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643EAC65">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D7330B" w:rsidRDefault="004730D1" w14:paraId="37994937" w14:textId="5BF23D2E">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D7330B" w:rsidR="00D7330B">
              <w:rPr>
                <w:sz w:val="22"/>
                <w:szCs w:val="22"/>
              </w:rPr>
              <w:t>2-year-olds in receipt of government support,</w:t>
            </w:r>
            <w:r w:rsidRPr="7EDBE4A8" w:rsidR="2D14B6AC">
              <w:rPr>
                <w:sz w:val="22"/>
                <w:szCs w:val="22"/>
              </w:rPr>
              <w:t xml:space="preserve"> 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F2D" w:rsidP="006A52F1" w:rsidRDefault="00400F2D" w14:paraId="5582F1F2" w14:textId="77777777">
      <w:pPr>
        <w:spacing w:after="0" w:line="240" w:lineRule="auto"/>
      </w:pPr>
      <w:r>
        <w:separator/>
      </w:r>
    </w:p>
  </w:endnote>
  <w:endnote w:type="continuationSeparator" w:id="0">
    <w:p w:rsidR="00400F2D" w:rsidP="006A52F1" w:rsidRDefault="00400F2D" w14:paraId="678F62D0" w14:textId="77777777">
      <w:pPr>
        <w:spacing w:after="0" w:line="240" w:lineRule="auto"/>
      </w:pPr>
      <w:r>
        <w:continuationSeparator/>
      </w:r>
    </w:p>
  </w:endnote>
  <w:endnote w:type="continuationNotice" w:id="1">
    <w:p w:rsidR="00400F2D" w:rsidRDefault="00400F2D" w14:paraId="511886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F2D" w:rsidP="006A52F1" w:rsidRDefault="00400F2D" w14:paraId="6AD92C48" w14:textId="77777777">
      <w:pPr>
        <w:spacing w:after="0" w:line="240" w:lineRule="auto"/>
      </w:pPr>
      <w:r>
        <w:separator/>
      </w:r>
    </w:p>
  </w:footnote>
  <w:footnote w:type="continuationSeparator" w:id="0">
    <w:p w:rsidR="00400F2D" w:rsidP="006A52F1" w:rsidRDefault="00400F2D" w14:paraId="051FD2C3" w14:textId="77777777">
      <w:pPr>
        <w:spacing w:after="0" w:line="240" w:lineRule="auto"/>
      </w:pPr>
      <w:r>
        <w:continuationSeparator/>
      </w:r>
    </w:p>
  </w:footnote>
  <w:footnote w:type="continuationNotice" w:id="1">
    <w:p w:rsidR="00400F2D" w:rsidRDefault="00400F2D" w14:paraId="636D3E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49F94C71">
    <w:pPr>
      <w:pStyle w:val="Header"/>
      <w:jc w:val="center"/>
      <w:rPr>
        <w:sz w:val="20"/>
        <w:szCs w:val="20"/>
      </w:rPr>
    </w:pPr>
    <w:r w:rsidRPr="00960A4F">
      <w:rPr>
        <w:sz w:val="20"/>
        <w:szCs w:val="20"/>
      </w:rPr>
      <w:t>Section 106 and Le</w:t>
    </w:r>
    <w:r>
      <w:rPr>
        <w:sz w:val="20"/>
        <w:szCs w:val="20"/>
      </w:rPr>
      <w:t>ase</w:t>
    </w:r>
    <w:r w:rsidR="006B7E2A">
      <w:rPr>
        <w:sz w:val="20"/>
        <w:szCs w:val="20"/>
      </w:rPr>
      <w:t xml:space="preserve"> 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0878"/>
    <w:rsid w:val="00007D6F"/>
    <w:rsid w:val="00010F90"/>
    <w:rsid w:val="00012413"/>
    <w:rsid w:val="0001EB2A"/>
    <w:rsid w:val="000228C1"/>
    <w:rsid w:val="00026567"/>
    <w:rsid w:val="00027982"/>
    <w:rsid w:val="000323D6"/>
    <w:rsid w:val="00036262"/>
    <w:rsid w:val="00036F6D"/>
    <w:rsid w:val="000417B9"/>
    <w:rsid w:val="000444CB"/>
    <w:rsid w:val="00046656"/>
    <w:rsid w:val="00050136"/>
    <w:rsid w:val="000511B6"/>
    <w:rsid w:val="0005319A"/>
    <w:rsid w:val="0005399E"/>
    <w:rsid w:val="00056D03"/>
    <w:rsid w:val="00057FA8"/>
    <w:rsid w:val="000709CD"/>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0F2D"/>
    <w:rsid w:val="00403ED4"/>
    <w:rsid w:val="0041033A"/>
    <w:rsid w:val="004200DD"/>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3BC0"/>
    <w:rsid w:val="00515744"/>
    <w:rsid w:val="00515ECB"/>
    <w:rsid w:val="00516A85"/>
    <w:rsid w:val="00525B32"/>
    <w:rsid w:val="00525C85"/>
    <w:rsid w:val="00530D8C"/>
    <w:rsid w:val="00532AD8"/>
    <w:rsid w:val="005415AB"/>
    <w:rsid w:val="00546C3E"/>
    <w:rsid w:val="005539E4"/>
    <w:rsid w:val="00555329"/>
    <w:rsid w:val="00555F1D"/>
    <w:rsid w:val="005613F6"/>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10AE"/>
    <w:rsid w:val="0064314F"/>
    <w:rsid w:val="006478C6"/>
    <w:rsid w:val="0065256F"/>
    <w:rsid w:val="00653624"/>
    <w:rsid w:val="00654427"/>
    <w:rsid w:val="00661286"/>
    <w:rsid w:val="00666D22"/>
    <w:rsid w:val="0067390F"/>
    <w:rsid w:val="006745EA"/>
    <w:rsid w:val="0068116C"/>
    <w:rsid w:val="00681F0A"/>
    <w:rsid w:val="0068383C"/>
    <w:rsid w:val="00690A05"/>
    <w:rsid w:val="00691DC3"/>
    <w:rsid w:val="006A2925"/>
    <w:rsid w:val="006A3A0E"/>
    <w:rsid w:val="006A3FBF"/>
    <w:rsid w:val="006A4EBF"/>
    <w:rsid w:val="006A52F1"/>
    <w:rsid w:val="006A5696"/>
    <w:rsid w:val="006B1F3D"/>
    <w:rsid w:val="006B57C2"/>
    <w:rsid w:val="006B7E2A"/>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06FB"/>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6614B"/>
    <w:rsid w:val="00B7172C"/>
    <w:rsid w:val="00B860DD"/>
    <w:rsid w:val="00B86E5E"/>
    <w:rsid w:val="00B96642"/>
    <w:rsid w:val="00BB0B84"/>
    <w:rsid w:val="00BB26C5"/>
    <w:rsid w:val="00BB40BF"/>
    <w:rsid w:val="00BB57CF"/>
    <w:rsid w:val="00BB7A51"/>
    <w:rsid w:val="00BC4B94"/>
    <w:rsid w:val="00BC7214"/>
    <w:rsid w:val="00BE185A"/>
    <w:rsid w:val="00BF3905"/>
    <w:rsid w:val="00BF60B0"/>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05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7330B"/>
    <w:rsid w:val="00D808A7"/>
    <w:rsid w:val="00D8100E"/>
    <w:rsid w:val="00D82951"/>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76BA4"/>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70B7"/>
    <w:rsid w:val="00F72FD5"/>
    <w:rsid w:val="00F74246"/>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0FFE4DCD"/>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0A60A8"/>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42507D"/>
    <w:rsid w:val="4196EFE2"/>
    <w:rsid w:val="41ACDE6E"/>
    <w:rsid w:val="41C8321F"/>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6B193EC"/>
    <w:rsid w:val="477BB41B"/>
    <w:rsid w:val="47F37313"/>
    <w:rsid w:val="47F4EF19"/>
    <w:rsid w:val="483E31A7"/>
    <w:rsid w:val="484C67CD"/>
    <w:rsid w:val="4972E5AE"/>
    <w:rsid w:val="4991DCFD"/>
    <w:rsid w:val="49C1CEB1"/>
    <w:rsid w:val="4A257C08"/>
    <w:rsid w:val="4A7E13B3"/>
    <w:rsid w:val="4AA48092"/>
    <w:rsid w:val="4B09B6CB"/>
    <w:rsid w:val="4B24A9CB"/>
    <w:rsid w:val="4B2C14E2"/>
    <w:rsid w:val="4B610E12"/>
    <w:rsid w:val="4B791624"/>
    <w:rsid w:val="4B9C7496"/>
    <w:rsid w:val="4C1AF41F"/>
    <w:rsid w:val="4C651E45"/>
    <w:rsid w:val="4C780FFE"/>
    <w:rsid w:val="4DDA67C6"/>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53E872"/>
    <w:rsid w:val="62840B36"/>
    <w:rsid w:val="62BD3B51"/>
    <w:rsid w:val="62CC98F9"/>
    <w:rsid w:val="62DE6D8F"/>
    <w:rsid w:val="63A40162"/>
    <w:rsid w:val="63F87DD0"/>
    <w:rsid w:val="6474E7EC"/>
    <w:rsid w:val="64DC2AD3"/>
    <w:rsid w:val="65FFAB98"/>
    <w:rsid w:val="6658ED0F"/>
    <w:rsid w:val="66742B75"/>
    <w:rsid w:val="66DBA224"/>
    <w:rsid w:val="6766C89F"/>
    <w:rsid w:val="67BDC2ED"/>
    <w:rsid w:val="68B62193"/>
    <w:rsid w:val="691E1C14"/>
    <w:rsid w:val="69908DD1"/>
    <w:rsid w:val="6A49148D"/>
    <w:rsid w:val="6A70ED0A"/>
    <w:rsid w:val="6A99D9DD"/>
    <w:rsid w:val="6AA09B43"/>
    <w:rsid w:val="6B228BA1"/>
    <w:rsid w:val="6B71FA30"/>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97DBB3"/>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34</revision>
  <lastPrinted>2015-12-11T04:53:00.0000000Z</lastPrinted>
  <dcterms:created xsi:type="dcterms:W3CDTF">2025-05-13T21:19:00.0000000Z</dcterms:created>
  <dcterms:modified xsi:type="dcterms:W3CDTF">2025-05-14T16:22:40.8576614Z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