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77777777">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Pr="001B1076" w:rsidR="00784F0B" w:rsidTr="00784F0B" w14:paraId="4741D07B" w14:textId="77777777">
        <w:tc>
          <w:tcPr>
            <w:tcW w:w="1540" w:type="dxa"/>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383" w:type="dxa"/>
          </w:tcPr>
          <w:p w:rsidR="00784F0B" w:rsidP="002E7099" w:rsidRDefault="00352B6A" w14:paraId="7A134F80" w14:textId="18F80C8B">
            <w:pPr>
              <w:pStyle w:val="Header"/>
              <w:rPr>
                <w:rFonts w:eastAsia="Arial"/>
                <w:sz w:val="22"/>
                <w:szCs w:val="22"/>
              </w:rPr>
            </w:pPr>
            <w:r>
              <w:rPr>
                <w:rFonts w:eastAsia="Arial"/>
                <w:sz w:val="22"/>
                <w:szCs w:val="22"/>
              </w:rPr>
              <w:t>X</w:t>
            </w:r>
            <w:r w:rsidRPr="008E0DFD" w:rsidR="00784F0B">
              <w:rPr>
                <w:rFonts w:eastAsia="Arial"/>
                <w:sz w:val="22"/>
                <w:szCs w:val="22"/>
              </w:rPr>
              <w:t>POT:</w:t>
            </w:r>
            <w:r w:rsidR="00F46685">
              <w:rPr>
                <w:rFonts w:eastAsia="Arial"/>
                <w:sz w:val="22"/>
                <w:szCs w:val="22"/>
              </w:rPr>
              <w:t xml:space="preserve"> 041</w:t>
            </w:r>
          </w:p>
          <w:p w:rsidR="00E67426" w:rsidP="002E7099" w:rsidRDefault="00E67426" w14:paraId="42933D3C" w14:textId="77777777">
            <w:pPr>
              <w:pStyle w:val="Header"/>
              <w:rPr>
                <w:rFonts w:eastAsia="Arial"/>
                <w:sz w:val="22"/>
                <w:szCs w:val="22"/>
              </w:rPr>
            </w:pPr>
          </w:p>
          <w:p w:rsidR="00E67426" w:rsidP="002E7099" w:rsidRDefault="00E67426" w14:paraId="5C5C1A63" w14:textId="77777777">
            <w:pPr>
              <w:pStyle w:val="Header"/>
              <w:rPr>
                <w:rFonts w:eastAsia="Arial"/>
                <w:sz w:val="22"/>
                <w:szCs w:val="22"/>
              </w:rPr>
            </w:pPr>
          </w:p>
          <w:p w:rsidR="00E67426" w:rsidP="002E7099" w:rsidRDefault="00E67426" w14:paraId="7A6EA53A" w14:textId="77777777">
            <w:pPr>
              <w:pStyle w:val="Header"/>
              <w:rPr>
                <w:rFonts w:eastAsia="Arial"/>
                <w:sz w:val="22"/>
                <w:szCs w:val="22"/>
              </w:rPr>
            </w:pPr>
          </w:p>
          <w:p w:rsidRPr="008E0DFD" w:rsidR="00E67426" w:rsidP="002E7099" w:rsidRDefault="00E67426" w14:paraId="2BAB0A03" w14:textId="546D2699">
            <w:pPr>
              <w:pStyle w:val="Header"/>
              <w:rPr>
                <w:rFonts w:eastAsia="Arial"/>
                <w:sz w:val="22"/>
                <w:szCs w:val="22"/>
              </w:rPr>
            </w:pPr>
            <w:r>
              <w:rPr>
                <w:rFonts w:eastAsia="Arial"/>
                <w:sz w:val="22"/>
                <w:szCs w:val="22"/>
              </w:rPr>
              <w:t>EPOT: 288</w:t>
            </w:r>
          </w:p>
          <w:p w:rsidRPr="008E0DFD" w:rsidR="00784F0B" w:rsidP="002E7099" w:rsidRDefault="00784F0B" w14:paraId="55AB977A" w14:textId="0253F245">
            <w:pPr>
              <w:pStyle w:val="Header"/>
              <w:rPr>
                <w:rFonts w:eastAsia="Arial"/>
                <w:sz w:val="22"/>
                <w:szCs w:val="22"/>
              </w:rPr>
            </w:pPr>
          </w:p>
        </w:tc>
        <w:tc>
          <w:tcPr>
            <w:tcW w:w="1501" w:type="dxa"/>
          </w:tcPr>
          <w:p w:rsidR="00784F0B" w:rsidP="002E7099" w:rsidRDefault="00784F0B" w14:paraId="354722B9" w14:textId="5CC4EC92">
            <w:pPr>
              <w:pStyle w:val="Header"/>
              <w:rPr>
                <w:rFonts w:eastAsia="Arial"/>
                <w:sz w:val="22"/>
                <w:szCs w:val="22"/>
              </w:rPr>
            </w:pPr>
            <w:r w:rsidRPr="008E0DFD">
              <w:rPr>
                <w:rFonts w:eastAsia="Arial"/>
                <w:sz w:val="22"/>
                <w:szCs w:val="22"/>
              </w:rPr>
              <w:t>Site Ref:</w:t>
            </w:r>
            <w:r w:rsidR="00F46685">
              <w:rPr>
                <w:rFonts w:eastAsia="Arial"/>
                <w:sz w:val="22"/>
                <w:szCs w:val="22"/>
              </w:rPr>
              <w:t xml:space="preserve"> 21278</w:t>
            </w:r>
          </w:p>
          <w:p w:rsidR="00E67426" w:rsidP="002E7099" w:rsidRDefault="00E67426" w14:paraId="324A3352" w14:textId="77777777">
            <w:pPr>
              <w:pStyle w:val="Header"/>
              <w:rPr>
                <w:rFonts w:eastAsia="Arial"/>
                <w:sz w:val="22"/>
                <w:szCs w:val="22"/>
              </w:rPr>
            </w:pPr>
          </w:p>
          <w:p w:rsidRPr="008E0DFD" w:rsidR="00E67426" w:rsidP="002E7099" w:rsidRDefault="002A1B5C" w14:paraId="7F3F35B5" w14:textId="734D9F97">
            <w:pPr>
              <w:pStyle w:val="Header"/>
              <w:rPr>
                <w:rFonts w:eastAsia="Arial"/>
                <w:sz w:val="22"/>
                <w:szCs w:val="22"/>
              </w:rPr>
            </w:pPr>
            <w:r>
              <w:rPr>
                <w:rFonts w:eastAsia="Arial"/>
                <w:sz w:val="22"/>
                <w:szCs w:val="22"/>
              </w:rPr>
              <w:t xml:space="preserve">Site Ref: </w:t>
            </w:r>
            <w:r w:rsidR="00E67426">
              <w:rPr>
                <w:rFonts w:eastAsia="Arial"/>
                <w:sz w:val="22"/>
                <w:szCs w:val="22"/>
              </w:rPr>
              <w:t>18167 &amp; 31710</w:t>
            </w:r>
          </w:p>
          <w:p w:rsidRPr="008E0DFD" w:rsidR="00784F0B" w:rsidP="002E7099" w:rsidRDefault="00784F0B" w14:paraId="050BEA5A" w14:textId="75948793">
            <w:pPr>
              <w:pStyle w:val="Header"/>
              <w:rPr>
                <w:rFonts w:eastAsia="Arial"/>
                <w:sz w:val="22"/>
                <w:szCs w:val="22"/>
              </w:rPr>
            </w:pPr>
          </w:p>
        </w:tc>
        <w:tc>
          <w:tcPr>
            <w:tcW w:w="2412" w:type="dxa"/>
          </w:tcPr>
          <w:p w:rsidRPr="008E0DFD" w:rsidR="00784F0B" w:rsidP="002E7099" w:rsidRDefault="00784F0B" w14:paraId="352A3BB0" w14:textId="59F273F1">
            <w:pPr>
              <w:pStyle w:val="Header"/>
              <w:rPr>
                <w:rFonts w:eastAsia="Arial"/>
                <w:sz w:val="22"/>
                <w:szCs w:val="22"/>
              </w:rPr>
            </w:pPr>
            <w:r w:rsidRPr="008E0DFD">
              <w:rPr>
                <w:rFonts w:eastAsia="Arial"/>
                <w:sz w:val="22"/>
                <w:szCs w:val="22"/>
              </w:rPr>
              <w:t>LPA Ref:</w:t>
            </w:r>
            <w:r w:rsidR="00F46685">
              <w:rPr>
                <w:rFonts w:eastAsia="Arial"/>
                <w:sz w:val="22"/>
                <w:szCs w:val="22"/>
              </w:rPr>
              <w:t xml:space="preserve"> EPF/18/1351</w:t>
            </w:r>
          </w:p>
          <w:p w:rsidR="00784F0B" w:rsidP="002E7099" w:rsidRDefault="00784F0B" w14:paraId="1695E1AE" w14:textId="77777777">
            <w:pPr>
              <w:pStyle w:val="Header"/>
              <w:rPr>
                <w:rFonts w:eastAsia="Arial"/>
                <w:sz w:val="22"/>
                <w:szCs w:val="22"/>
              </w:rPr>
            </w:pPr>
          </w:p>
          <w:p w:rsidRPr="008E0DFD" w:rsidR="00D25CE6" w:rsidP="002E7099" w:rsidRDefault="002A1B5C" w14:paraId="3040A33C" w14:textId="348ECC1E">
            <w:pPr>
              <w:pStyle w:val="Header"/>
              <w:rPr>
                <w:rFonts w:eastAsia="Arial"/>
                <w:sz w:val="22"/>
                <w:szCs w:val="22"/>
              </w:rPr>
            </w:pPr>
            <w:r>
              <w:rPr>
                <w:rFonts w:eastAsia="Arial"/>
                <w:sz w:val="22"/>
                <w:szCs w:val="22"/>
              </w:rPr>
              <w:t xml:space="preserve">LPA Ref: </w:t>
            </w:r>
            <w:r w:rsidR="00E67426">
              <w:rPr>
                <w:rFonts w:eastAsia="Arial"/>
                <w:sz w:val="22"/>
                <w:szCs w:val="22"/>
              </w:rPr>
              <w:t>EPF/20/2932</w:t>
            </w:r>
            <w:r w:rsidR="00D25CE6">
              <w:rPr>
                <w:rFonts w:eastAsia="Arial"/>
                <w:sz w:val="22"/>
                <w:szCs w:val="22"/>
              </w:rPr>
              <w:t xml:space="preserve"> &amp; EPF/18/3059</w:t>
            </w:r>
          </w:p>
        </w:tc>
        <w:tc>
          <w:tcPr>
            <w:tcW w:w="1295" w:type="dxa"/>
          </w:tcPr>
          <w:p w:rsidRPr="008E0DFD" w:rsidR="00784F0B" w:rsidP="002E7099" w:rsidRDefault="00784F0B" w14:paraId="3AC2F589" w14:textId="76250B25">
            <w:pPr>
              <w:pStyle w:val="Header"/>
              <w:rPr>
                <w:rFonts w:eastAsia="Arial"/>
                <w:sz w:val="22"/>
                <w:szCs w:val="22"/>
              </w:rPr>
            </w:pPr>
            <w:r w:rsidRPr="008E0DFD">
              <w:rPr>
                <w:rFonts w:eastAsia="Arial"/>
                <w:sz w:val="22"/>
                <w:szCs w:val="22"/>
              </w:rPr>
              <w:t>SOND:</w:t>
            </w:r>
            <w:r w:rsidR="00F46685">
              <w:rPr>
                <w:rFonts w:eastAsia="Arial"/>
                <w:sz w:val="22"/>
                <w:szCs w:val="22"/>
              </w:rPr>
              <w:t xml:space="preserve"> 22</w:t>
            </w:r>
            <w:r w:rsidR="00D25CE6">
              <w:rPr>
                <w:rFonts w:eastAsia="Arial"/>
                <w:sz w:val="22"/>
                <w:szCs w:val="22"/>
              </w:rPr>
              <w:t>14</w:t>
            </w:r>
          </w:p>
          <w:p w:rsidR="00784F0B" w:rsidP="002E7099" w:rsidRDefault="00784F0B" w14:paraId="649D9293" w14:textId="77777777">
            <w:pPr>
              <w:pStyle w:val="Header"/>
              <w:rPr>
                <w:rFonts w:eastAsia="Arial"/>
                <w:sz w:val="22"/>
                <w:szCs w:val="22"/>
              </w:rPr>
            </w:pPr>
          </w:p>
          <w:p w:rsidR="002A1B5C" w:rsidP="002E7099" w:rsidRDefault="002A1B5C" w14:paraId="1213D5EE" w14:textId="77777777">
            <w:pPr>
              <w:pStyle w:val="Header"/>
              <w:rPr>
                <w:rFonts w:eastAsia="Arial"/>
                <w:sz w:val="22"/>
                <w:szCs w:val="22"/>
              </w:rPr>
            </w:pPr>
            <w:r>
              <w:rPr>
                <w:rFonts w:eastAsia="Arial"/>
                <w:sz w:val="22"/>
                <w:szCs w:val="22"/>
              </w:rPr>
              <w:t>SOND:</w:t>
            </w:r>
          </w:p>
          <w:p w:rsidRPr="008E0DFD" w:rsidR="00D25CE6" w:rsidP="002E7099" w:rsidRDefault="00D25CE6" w14:paraId="64526035" w14:textId="7148D4AD">
            <w:pPr>
              <w:pStyle w:val="Header"/>
              <w:rPr>
                <w:rFonts w:eastAsia="Arial"/>
                <w:sz w:val="22"/>
                <w:szCs w:val="22"/>
              </w:rPr>
            </w:pPr>
            <w:r>
              <w:rPr>
                <w:rFonts w:eastAsia="Arial"/>
                <w:sz w:val="22"/>
                <w:szCs w:val="22"/>
              </w:rPr>
              <w:t>2862 &amp; 2973</w:t>
            </w: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9308B3" w:rsidP="009308B3" w:rsidRDefault="00FF7B3F" w14:paraId="6F631055" w14:textId="3691A02B">
      <w:pPr>
        <w:autoSpaceDE w:val="0"/>
        <w:autoSpaceDN w:val="0"/>
        <w:adjustRightInd w:val="0"/>
        <w:spacing w:after="0" w:line="240" w:lineRule="auto"/>
        <w:jc w:val="center"/>
        <w:rPr>
          <w:rFonts w:eastAsia="Arial"/>
          <w:color w:val="000000" w:themeColor="text1"/>
          <w:sz w:val="22"/>
          <w:szCs w:val="22"/>
        </w:rPr>
      </w:pPr>
      <w:r w:rsidRPr="00F46685">
        <w:rPr>
          <w:rFonts w:eastAsia="Arial"/>
          <w:color w:val="000000" w:themeColor="text1"/>
          <w:sz w:val="22"/>
          <w:szCs w:val="22"/>
        </w:rPr>
        <w:t>EY&amp;C</w:t>
      </w:r>
      <w:r w:rsidR="00F46685">
        <w:rPr>
          <w:rFonts w:eastAsia="Arial"/>
          <w:color w:val="000000" w:themeColor="text1"/>
          <w:sz w:val="22"/>
          <w:szCs w:val="22"/>
        </w:rPr>
        <w:t xml:space="preserve"> Epping</w:t>
      </w:r>
      <w:r w:rsidR="009308B3">
        <w:rPr>
          <w:rFonts w:eastAsia="Arial"/>
          <w:color w:val="000000" w:themeColor="text1"/>
          <w:sz w:val="22"/>
          <w:szCs w:val="22"/>
        </w:rPr>
        <w:t xml:space="preserve"> &amp; Lower Nazing</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00CE5859" w:rsidP="00960A4F" w:rsidRDefault="00CE5859" w14:paraId="1265B13B" w14:textId="69F7AC7A">
      <w:pPr>
        <w:autoSpaceDE w:val="0"/>
        <w:autoSpaceDN w:val="0"/>
        <w:adjustRightInd w:val="0"/>
        <w:spacing w:after="0" w:line="240" w:lineRule="auto"/>
        <w:jc w:val="center"/>
        <w:rPr>
          <w:rFonts w:eastAsia="Arial"/>
          <w:color w:val="000000" w:themeColor="text1"/>
          <w:sz w:val="22"/>
          <w:szCs w:val="22"/>
        </w:rPr>
      </w:pPr>
      <w:r w:rsidRPr="00F46685">
        <w:rPr>
          <w:rFonts w:eastAsia="Arial"/>
          <w:color w:val="000000" w:themeColor="text1"/>
          <w:sz w:val="22"/>
          <w:szCs w:val="22"/>
        </w:rPr>
        <w:t>£</w:t>
      </w:r>
      <w:r w:rsidRPr="00F46685" w:rsidR="00F46685">
        <w:rPr>
          <w:rFonts w:eastAsia="Arial"/>
          <w:color w:val="000000" w:themeColor="text1"/>
          <w:sz w:val="22"/>
          <w:szCs w:val="22"/>
        </w:rPr>
        <w:t>49</w:t>
      </w:r>
      <w:r w:rsidR="00F46685">
        <w:rPr>
          <w:rFonts w:eastAsia="Arial"/>
          <w:color w:val="000000" w:themeColor="text1"/>
          <w:sz w:val="22"/>
          <w:szCs w:val="22"/>
        </w:rPr>
        <w:t>,553</w:t>
      </w:r>
      <w:r w:rsidR="004A11AA">
        <w:rPr>
          <w:rFonts w:eastAsia="Arial"/>
          <w:color w:val="000000" w:themeColor="text1"/>
          <w:sz w:val="22"/>
          <w:szCs w:val="22"/>
        </w:rPr>
        <w:t xml:space="preserve"> (0-5 Nazing ward) </w:t>
      </w:r>
    </w:p>
    <w:p w:rsidR="0075160D" w:rsidP="00960A4F" w:rsidRDefault="0075160D" w14:paraId="2244A1A9" w14:textId="1F31BEF6">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£60,380 </w:t>
      </w:r>
      <w:r w:rsidR="004A11AA">
        <w:rPr>
          <w:rFonts w:eastAsia="Arial"/>
          <w:color w:val="000000" w:themeColor="text1"/>
          <w:sz w:val="22"/>
          <w:szCs w:val="22"/>
        </w:rPr>
        <w:t>(0-5 Nazing ward or 3-mile radius)</w:t>
      </w:r>
    </w:p>
    <w:p w:rsidR="0075160D" w:rsidP="00960A4F" w:rsidRDefault="00150609" w14:paraId="4BC5EC74" w14:textId="531EB467">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£48,352</w:t>
      </w:r>
      <w:r w:rsidR="004A11AA">
        <w:rPr>
          <w:rFonts w:eastAsia="Arial"/>
          <w:color w:val="000000" w:themeColor="text1"/>
          <w:sz w:val="22"/>
          <w:szCs w:val="22"/>
        </w:rPr>
        <w:t xml:space="preserve"> (0-5 3-mile radius)</w:t>
      </w:r>
    </w:p>
    <w:p w:rsidRPr="00852D63" w:rsidR="00150609" w:rsidP="2B52A01B" w:rsidRDefault="00150609" w14:paraId="340B148A" w14:textId="5180DC16">
      <w:pPr>
        <w:autoSpaceDE w:val="0"/>
        <w:autoSpaceDN w:val="0"/>
        <w:adjustRightInd w:val="0"/>
        <w:spacing w:after="0" w:line="240" w:lineRule="auto"/>
        <w:jc w:val="center"/>
        <w:rPr>
          <w:rFonts w:eastAsia="Arial"/>
          <w:b w:val="1"/>
          <w:bCs w:val="1"/>
          <w:color w:val="000000" w:themeColor="text1"/>
          <w:sz w:val="22"/>
          <w:szCs w:val="22"/>
        </w:rPr>
      </w:pPr>
      <w:r w:rsidRPr="2B52A01B" w:rsidR="00150609">
        <w:rPr>
          <w:rFonts w:eastAsia="Arial"/>
          <w:b w:val="1"/>
          <w:bCs w:val="1"/>
          <w:color w:val="000000" w:themeColor="text1" w:themeTint="FF" w:themeShade="FF"/>
          <w:sz w:val="22"/>
          <w:szCs w:val="22"/>
        </w:rPr>
        <w:t>(Total £</w:t>
      </w:r>
      <w:r w:rsidRPr="2B52A01B" w:rsidR="00E96113">
        <w:rPr>
          <w:rFonts w:eastAsia="Arial"/>
          <w:b w:val="1"/>
          <w:bCs w:val="1"/>
          <w:color w:val="000000" w:themeColor="text1" w:themeTint="FF" w:themeShade="FF"/>
          <w:sz w:val="22"/>
          <w:szCs w:val="22"/>
        </w:rPr>
        <w:t>158,285)</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Pr="00F46685" w:rsidR="00960A4F" w:rsidP="241DE2DC" w:rsidRDefault="1B22F1CD" w14:paraId="2808F72F" w14:textId="7945EBF5">
      <w:pPr>
        <w:autoSpaceDE w:val="0"/>
        <w:autoSpaceDN w:val="0"/>
        <w:adjustRightInd w:val="0"/>
        <w:spacing w:after="0" w:line="240" w:lineRule="auto"/>
        <w:jc w:val="center"/>
        <w:rPr>
          <w:rFonts w:eastAsia="Arial"/>
          <w:bCs/>
          <w:color w:val="000000" w:themeColor="text1"/>
          <w:sz w:val="32"/>
          <w:szCs w:val="32"/>
        </w:rPr>
      </w:pPr>
      <w:r w:rsidRPr="00F46685">
        <w:rPr>
          <w:rFonts w:eastAsia="Arial"/>
          <w:bCs/>
          <w:color w:val="000000" w:themeColor="text1"/>
          <w:sz w:val="32"/>
          <w:szCs w:val="32"/>
        </w:rPr>
        <w:t>Ward:</w:t>
      </w:r>
    </w:p>
    <w:p w:rsidRPr="00852D63" w:rsidR="00852D63" w:rsidP="241DE2DC" w:rsidRDefault="00F46685" w14:paraId="6522D58B" w14:textId="18DD79D1">
      <w:pPr>
        <w:autoSpaceDE w:val="0"/>
        <w:autoSpaceDN w:val="0"/>
        <w:adjustRightInd w:val="0"/>
        <w:spacing w:after="0" w:line="240" w:lineRule="auto"/>
        <w:jc w:val="center"/>
        <w:rPr>
          <w:rFonts w:eastAsia="Arial"/>
          <w:b/>
          <w:color w:val="000000" w:themeColor="text1"/>
          <w:sz w:val="22"/>
          <w:szCs w:val="22"/>
        </w:rPr>
      </w:pPr>
      <w:r w:rsidRPr="00F46685">
        <w:rPr>
          <w:rFonts w:eastAsia="Arial"/>
          <w:bCs/>
          <w:color w:val="000000" w:themeColor="text1"/>
          <w:sz w:val="22"/>
          <w:szCs w:val="22"/>
        </w:rPr>
        <w:t>Lower Nazing</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00CE5859" w:rsidP="00CE5859" w:rsidRDefault="00F46685" w14:paraId="07709EA9" w14:textId="1D396C0E">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EN10 6RJ</w:t>
      </w:r>
    </w:p>
    <w:p w:rsidR="00512FCF" w:rsidP="00CE5859" w:rsidRDefault="00512FCF" w14:paraId="54A21F2C" w14:textId="4FD6C5C1">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EN9 2R</w:t>
      </w:r>
      <w:r w:rsidR="00AA3966">
        <w:rPr>
          <w:rFonts w:eastAsia="Arial"/>
          <w:color w:val="000000" w:themeColor="text1"/>
          <w:sz w:val="22"/>
          <w:szCs w:val="22"/>
        </w:rPr>
        <w:t>W</w:t>
      </w:r>
    </w:p>
    <w:p w:rsidRPr="00852D63" w:rsidR="00AA3966" w:rsidP="00CE5859" w:rsidRDefault="00EF0E18" w14:paraId="676E37A5" w14:textId="73176D4A">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EN9 2NY</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lastRenderedPageBreak/>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EF0E18" w:rsidR="00C13A28" w:rsidP="00EF0E18" w:rsidRDefault="00C13A28" w14:paraId="2E7D1DB4" w14:textId="5A3207B0">
      <w:pPr>
        <w:spacing w:after="0" w:line="240" w:lineRule="auto"/>
        <w:rPr>
          <w:rFonts w:eastAsia="Arial"/>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have  been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00822C69" w14:paraId="28600D28" w14:textId="77777777">
        <w:trPr>
          <w:trHeight w:val="396"/>
        </w:trPr>
        <w:tc>
          <w:tcPr>
            <w:tcW w:w="9922" w:type="dxa"/>
          </w:tcPr>
          <w:p w:rsidRPr="008E0DFD" w:rsidR="3E513A4D" w:rsidP="005D3502" w:rsidRDefault="00512FCF" w14:paraId="4CE62C04" w14:textId="5929D174">
            <w:pPr>
              <w:spacing w:after="480"/>
              <w:rPr>
                <w:rFonts w:eastAsia="Arial"/>
                <w:sz w:val="22"/>
                <w:szCs w:val="22"/>
              </w:rPr>
            </w:pPr>
            <w:r>
              <w:rPr>
                <w:rFonts w:eastAsia="Arial"/>
                <w:color w:val="000000" w:themeColor="text1"/>
                <w:sz w:val="22"/>
                <w:szCs w:val="22"/>
              </w:rPr>
              <w:lastRenderedPageBreak/>
              <w:t>D</w:t>
            </w:r>
            <w:r w:rsidRPr="008E0DFD" w:rsidR="3E513A4D">
              <w:rPr>
                <w:rFonts w:eastAsia="Arial"/>
                <w:color w:val="000000" w:themeColor="text1"/>
                <w:sz w:val="22"/>
                <w:szCs w:val="22"/>
              </w:rPr>
              <w:t>evelopment</w:t>
            </w:r>
            <w:r>
              <w:rPr>
                <w:rFonts w:eastAsia="Arial"/>
                <w:color w:val="000000" w:themeColor="text1"/>
                <w:sz w:val="22"/>
                <w:szCs w:val="22"/>
              </w:rPr>
              <w:t>s</w:t>
            </w:r>
            <w:r w:rsidRPr="008E0DFD" w:rsidR="005125C4">
              <w:rPr>
                <w:rFonts w:eastAsia="Arial"/>
                <w:color w:val="000000" w:themeColor="text1"/>
                <w:sz w:val="22"/>
                <w:szCs w:val="22"/>
              </w:rPr>
              <w:t xml:space="preserve"> </w:t>
            </w:r>
            <w:r w:rsidRPr="008E0DFD" w:rsidR="3E513A4D">
              <w:rPr>
                <w:rFonts w:eastAsia="Arial"/>
                <w:color w:val="000000" w:themeColor="text1"/>
                <w:sz w:val="22"/>
                <w:szCs w:val="22"/>
              </w:rPr>
              <w:t>in the</w:t>
            </w:r>
            <w:r>
              <w:rPr>
                <w:rFonts w:eastAsia="Arial"/>
                <w:color w:val="000000" w:themeColor="text1"/>
                <w:sz w:val="22"/>
                <w:szCs w:val="22"/>
              </w:rPr>
              <w:t xml:space="preserve"> </w:t>
            </w:r>
            <w:r w:rsidR="00EF0E18">
              <w:rPr>
                <w:rFonts w:eastAsia="Arial"/>
                <w:color w:val="000000" w:themeColor="text1"/>
                <w:sz w:val="22"/>
                <w:szCs w:val="22"/>
              </w:rPr>
              <w:t>L</w:t>
            </w:r>
            <w:r>
              <w:rPr>
                <w:rFonts w:eastAsia="Arial"/>
                <w:color w:val="000000" w:themeColor="text1"/>
                <w:sz w:val="22"/>
                <w:szCs w:val="22"/>
              </w:rPr>
              <w:t>ower</w:t>
            </w:r>
            <w:r w:rsidR="00F46685">
              <w:rPr>
                <w:rFonts w:eastAsia="Arial"/>
                <w:color w:val="000000" w:themeColor="text1"/>
                <w:sz w:val="22"/>
                <w:szCs w:val="22"/>
              </w:rPr>
              <w:t xml:space="preserve"> Nazing</w:t>
            </w:r>
            <w:r w:rsidRPr="008E0DFD" w:rsidR="00224274">
              <w:rPr>
                <w:rFonts w:eastAsia="Arial"/>
                <w:color w:val="000000" w:themeColor="text1"/>
                <w:sz w:val="22"/>
                <w:szCs w:val="22"/>
              </w:rPr>
              <w:t xml:space="preserve"> </w:t>
            </w:r>
            <w:r w:rsidRPr="008E0DFD" w:rsidR="001D2114">
              <w:rPr>
                <w:rFonts w:eastAsia="Arial"/>
                <w:color w:val="000000" w:themeColor="text1"/>
                <w:sz w:val="22"/>
                <w:szCs w:val="22"/>
              </w:rPr>
              <w:t>ward (</w:t>
            </w:r>
            <w:r w:rsidRPr="008E0DFD" w:rsidR="009D34EE">
              <w:rPr>
                <w:rFonts w:eastAsia="Arial"/>
                <w:color w:val="000000" w:themeColor="text1"/>
                <w:sz w:val="22"/>
                <w:szCs w:val="22"/>
              </w:rPr>
              <w:t>postcod</w:t>
            </w:r>
            <w:r w:rsidR="00F46685">
              <w:rPr>
                <w:rFonts w:eastAsia="Arial"/>
                <w:color w:val="000000" w:themeColor="text1"/>
                <w:sz w:val="22"/>
                <w:szCs w:val="22"/>
              </w:rPr>
              <w:t>es EN10 6RJ</w:t>
            </w:r>
            <w:r w:rsidR="00EF0E18">
              <w:rPr>
                <w:rFonts w:eastAsia="Arial"/>
                <w:color w:val="000000" w:themeColor="text1"/>
                <w:sz w:val="22"/>
                <w:szCs w:val="22"/>
              </w:rPr>
              <w:t xml:space="preserve"> &amp; EN9 2RW &amp; EN9 2NY</w:t>
            </w:r>
            <w:r w:rsidRPr="008E0DFD" w:rsidR="001D2114">
              <w:rPr>
                <w:rFonts w:eastAsia="Arial"/>
                <w:color w:val="000000" w:themeColor="text1"/>
                <w:sz w:val="22"/>
                <w:szCs w:val="22"/>
              </w:rPr>
              <w:t>)</w:t>
            </w:r>
            <w:r w:rsidRPr="008E0DFD" w:rsidR="009D34EE">
              <w:rPr>
                <w:rFonts w:eastAsia="Arial"/>
                <w:color w:val="000000" w:themeColor="text1"/>
                <w:sz w:val="22"/>
                <w:szCs w:val="22"/>
              </w:rPr>
              <w:t xml:space="preserve"> h</w:t>
            </w:r>
            <w:r w:rsidRPr="008E0DFD" w:rsidR="3E513A4D">
              <w:rPr>
                <w:rFonts w:eastAsia="Arial"/>
                <w:color w:val="000000" w:themeColor="text1"/>
                <w:sz w:val="22"/>
                <w:szCs w:val="22"/>
              </w:rPr>
              <w:t>a</w:t>
            </w:r>
            <w:r w:rsidR="00EF0E18">
              <w:rPr>
                <w:rFonts w:eastAsia="Arial"/>
                <w:color w:val="000000" w:themeColor="text1"/>
                <w:sz w:val="22"/>
                <w:szCs w:val="22"/>
              </w:rPr>
              <w:t>ve</w:t>
            </w:r>
            <w:r w:rsidRPr="008E0DFD" w:rsidR="3E513A4D">
              <w:rPr>
                <w:rFonts w:eastAsia="Arial"/>
                <w:color w:val="000000" w:themeColor="text1"/>
                <w:sz w:val="22"/>
                <w:szCs w:val="22"/>
              </w:rPr>
              <w:t xml:space="preserve"> generated </w:t>
            </w:r>
            <w:r w:rsidRPr="008E0DFD" w:rsidR="00583712">
              <w:rPr>
                <w:rFonts w:eastAsia="Arial"/>
                <w:color w:val="000000" w:themeColor="text1"/>
                <w:sz w:val="22"/>
                <w:szCs w:val="22"/>
              </w:rPr>
              <w:t>pot</w:t>
            </w:r>
            <w:r w:rsidR="00EF0E18">
              <w:rPr>
                <w:rFonts w:eastAsia="Arial"/>
                <w:color w:val="000000" w:themeColor="text1"/>
                <w:sz w:val="22"/>
                <w:szCs w:val="22"/>
              </w:rPr>
              <w:t>s</w:t>
            </w:r>
            <w:r w:rsidRPr="008E0DFD" w:rsidR="00583712">
              <w:rPr>
                <w:rFonts w:eastAsia="Arial"/>
                <w:color w:val="000000" w:themeColor="text1"/>
                <w:sz w:val="22"/>
                <w:szCs w:val="22"/>
              </w:rPr>
              <w:t xml:space="preserve"> </w:t>
            </w:r>
            <w:r w:rsidRPr="008E0DFD" w:rsidR="3E513A4D">
              <w:rPr>
                <w:rFonts w:eastAsia="Arial"/>
                <w:color w:val="000000" w:themeColor="text1"/>
                <w:sz w:val="22"/>
                <w:szCs w:val="22"/>
              </w:rPr>
              <w:t xml:space="preserve">of capital funding (Section106) for childcare expansion. </w:t>
            </w:r>
          </w:p>
          <w:p w:rsidRPr="008E0DFD" w:rsidR="002971D3" w:rsidP="000063F4" w:rsidRDefault="3E513A4D" w14:paraId="0BEC7344" w14:textId="0C0E1621">
            <w:pPr>
              <w:spacing w:before="360" w:after="480"/>
              <w:rPr>
                <w:rFonts w:eastAsia="Arial"/>
                <w:sz w:val="22"/>
                <w:szCs w:val="22"/>
              </w:rPr>
            </w:pPr>
            <w:r w:rsidRPr="008E0DFD">
              <w:rPr>
                <w:rFonts w:eastAsia="Arial"/>
                <w:sz w:val="22"/>
                <w:szCs w:val="22"/>
              </w:rPr>
              <w:t>Essex County Council has received</w:t>
            </w:r>
            <w:r w:rsidR="00F46685">
              <w:rPr>
                <w:rFonts w:eastAsia="Arial"/>
                <w:color w:val="000000" w:themeColor="text1"/>
                <w:sz w:val="22"/>
                <w:szCs w:val="22"/>
              </w:rPr>
              <w:t xml:space="preserve"> </w:t>
            </w:r>
            <w:r w:rsidRPr="008E0DFD" w:rsidR="5B167778">
              <w:rPr>
                <w:rFonts w:eastAsia="Arial"/>
                <w:color w:val="000000" w:themeColor="text1"/>
                <w:sz w:val="22"/>
                <w:szCs w:val="22"/>
              </w:rPr>
              <w:t>contribution</w:t>
            </w:r>
            <w:r w:rsidR="00EF0E18">
              <w:rPr>
                <w:rFonts w:eastAsia="Arial"/>
                <w:color w:val="000000" w:themeColor="text1"/>
                <w:sz w:val="22"/>
                <w:szCs w:val="22"/>
              </w:rPr>
              <w:t>s</w:t>
            </w:r>
            <w:r w:rsidRPr="008E0DFD" w:rsidR="5B167778">
              <w:rPr>
                <w:rFonts w:eastAsia="Arial"/>
                <w:color w:val="000000" w:themeColor="text1"/>
                <w:sz w:val="22"/>
                <w:szCs w:val="22"/>
              </w:rPr>
              <w:t xml:space="preserve"> of </w:t>
            </w:r>
            <w:r w:rsidRPr="00F46685" w:rsidR="65FFAB98">
              <w:rPr>
                <w:rFonts w:eastAsia="Arial"/>
                <w:b/>
                <w:color w:val="000000" w:themeColor="text1"/>
                <w:sz w:val="22"/>
                <w:szCs w:val="22"/>
              </w:rPr>
              <w:t>£</w:t>
            </w:r>
            <w:r w:rsidRPr="00F46685" w:rsidR="00F46685">
              <w:rPr>
                <w:rFonts w:eastAsia="Arial"/>
                <w:b/>
                <w:color w:val="000000" w:themeColor="text1"/>
                <w:sz w:val="22"/>
                <w:szCs w:val="22"/>
              </w:rPr>
              <w:t>49</w:t>
            </w:r>
            <w:r w:rsidR="00F46685">
              <w:rPr>
                <w:rFonts w:eastAsia="Arial"/>
                <w:b/>
                <w:color w:val="000000" w:themeColor="text1"/>
                <w:sz w:val="22"/>
                <w:szCs w:val="22"/>
              </w:rPr>
              <w:t>,553</w:t>
            </w:r>
            <w:r w:rsidR="002061E6">
              <w:rPr>
                <w:rFonts w:eastAsia="Arial"/>
                <w:b/>
                <w:color w:val="000000" w:themeColor="text1"/>
                <w:sz w:val="22"/>
                <w:szCs w:val="22"/>
              </w:rPr>
              <w:t>,</w:t>
            </w:r>
            <w:r w:rsidR="007B389C">
              <w:rPr>
                <w:rFonts w:eastAsia="Arial"/>
                <w:b/>
                <w:color w:val="000000" w:themeColor="text1"/>
                <w:sz w:val="22"/>
                <w:szCs w:val="22"/>
              </w:rPr>
              <w:t xml:space="preserve"> £63,380 &amp; £48,352 (total £158,285)</w:t>
            </w:r>
            <w:r w:rsidRPr="008E0DFD" w:rsidR="00EE474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2061E6">
              <w:rPr>
                <w:rFonts w:eastAsia="Arial"/>
                <w:b/>
                <w:sz w:val="22"/>
                <w:szCs w:val="22"/>
              </w:rPr>
              <w:t>2, 2, and 2 (total 6)</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place</w:t>
            </w:r>
            <w:r w:rsidRPr="008E0DFD" w:rsidR="1E08844C">
              <w:rPr>
                <w:rFonts w:eastAsia="Arial"/>
                <w:sz w:val="22"/>
                <w:szCs w:val="22"/>
              </w:rPr>
              <w:t>s</w:t>
            </w:r>
            <w:r w:rsidRPr="008E0DFD">
              <w:rPr>
                <w:rFonts w:eastAsia="Arial"/>
                <w:sz w:val="22"/>
                <w:szCs w:val="22"/>
              </w:rPr>
              <w:t xml:space="preserve">. The additional resource must be located </w:t>
            </w:r>
            <w:r w:rsidR="00F46685">
              <w:rPr>
                <w:rFonts w:eastAsia="Arial"/>
                <w:sz w:val="22"/>
                <w:szCs w:val="22"/>
              </w:rPr>
              <w:t xml:space="preserve">within the Nazing ward. </w:t>
            </w:r>
          </w:p>
          <w:p w:rsidRPr="008E0DFD" w:rsidR="002971D3" w:rsidP="000063F4" w:rsidRDefault="00371C02" w14:paraId="101618E6" w14:textId="54EF6A49">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002061E6">
              <w:rPr>
                <w:rFonts w:eastAsia="Arial"/>
                <w:sz w:val="22"/>
                <w:szCs w:val="22"/>
              </w:rPr>
              <w:t xml:space="preserve">they </w:t>
            </w:r>
            <w:r w:rsidRPr="00F46685" w:rsidR="002971D3">
              <w:rPr>
                <w:rFonts w:eastAsia="Arial"/>
                <w:sz w:val="22"/>
                <w:szCs w:val="22"/>
              </w:rPr>
              <w:t>state</w:t>
            </w:r>
            <w:r w:rsidRPr="00F46685" w:rsidR="00F46685">
              <w:rPr>
                <w:rFonts w:eastAsia="Arial"/>
                <w:sz w:val="22"/>
                <w:szCs w:val="22"/>
              </w:rPr>
              <w:t>:</w:t>
            </w:r>
            <w:r w:rsidR="00F46685">
              <w:rPr>
                <w:rFonts w:eastAsia="Arial"/>
                <w:sz w:val="22"/>
                <w:szCs w:val="22"/>
              </w:rPr>
              <w:t xml:space="preserve"> </w:t>
            </w:r>
          </w:p>
          <w:p w:rsidR="00F0694F" w:rsidP="000063F4" w:rsidRDefault="0704A147" w14:paraId="03B9E911" w14:textId="1B615C07">
            <w:pPr>
              <w:spacing w:before="360" w:after="480"/>
              <w:rPr>
                <w:rFonts w:eastAsia="Arial"/>
                <w:b/>
                <w:sz w:val="22"/>
                <w:szCs w:val="22"/>
              </w:rPr>
            </w:pPr>
            <w:r w:rsidRPr="00F46685">
              <w:rPr>
                <w:rFonts w:eastAsia="Arial"/>
                <w:b/>
                <w:sz w:val="22"/>
                <w:szCs w:val="22"/>
              </w:rPr>
              <w:t>“</w:t>
            </w:r>
            <w:r w:rsidRPr="00F46685" w:rsidR="00885CB0">
              <w:rPr>
                <w:rFonts w:eastAsia="Arial"/>
                <w:b/>
                <w:sz w:val="22"/>
                <w:szCs w:val="22"/>
              </w:rPr>
              <w:t xml:space="preserve">Early years and childcare purposes” </w:t>
            </w:r>
            <w:r w:rsidRPr="00F46685" w:rsidR="71F6185F">
              <w:rPr>
                <w:rFonts w:eastAsia="Arial"/>
                <w:b/>
                <w:sz w:val="22"/>
                <w:szCs w:val="22"/>
              </w:rPr>
              <w:t>means</w:t>
            </w:r>
            <w:r w:rsidRPr="00F46685" w:rsidR="005F789F">
              <w:rPr>
                <w:rFonts w:eastAsia="Arial"/>
                <w:b/>
                <w:sz w:val="22"/>
                <w:szCs w:val="22"/>
              </w:rPr>
              <w:t xml:space="preserve"> </w:t>
            </w:r>
            <w:r w:rsidRPr="00F46685" w:rsidR="6A49148D">
              <w:rPr>
                <w:rFonts w:eastAsia="Arial"/>
                <w:b/>
                <w:sz w:val="22"/>
                <w:szCs w:val="22"/>
              </w:rPr>
              <w:t xml:space="preserve">the </w:t>
            </w:r>
            <w:r w:rsidRPr="00F46685">
              <w:rPr>
                <w:rFonts w:eastAsia="Arial"/>
                <w:b/>
                <w:sz w:val="22"/>
                <w:szCs w:val="22"/>
              </w:rPr>
              <w:t>provision of facilities for the education and/or care of children</w:t>
            </w:r>
            <w:r w:rsidRPr="00F46685" w:rsidR="5056CE25">
              <w:rPr>
                <w:rFonts w:eastAsia="Arial"/>
                <w:b/>
                <w:sz w:val="22"/>
                <w:szCs w:val="22"/>
              </w:rPr>
              <w:t xml:space="preserve"> between</w:t>
            </w:r>
            <w:r w:rsidRPr="00F46685" w:rsidR="4C780FFE">
              <w:rPr>
                <w:rFonts w:eastAsia="Arial"/>
                <w:b/>
                <w:sz w:val="22"/>
                <w:szCs w:val="22"/>
              </w:rPr>
              <w:t xml:space="preserve"> age</w:t>
            </w:r>
            <w:r w:rsidRPr="00F46685" w:rsidR="71F6185F">
              <w:rPr>
                <w:rFonts w:eastAsia="Arial"/>
                <w:b/>
                <w:sz w:val="22"/>
                <w:szCs w:val="22"/>
              </w:rPr>
              <w:t xml:space="preserve"> 0-</w:t>
            </w:r>
            <w:r w:rsidRPr="00F46685" w:rsidR="00F46685">
              <w:rPr>
                <w:rFonts w:eastAsia="Arial"/>
                <w:b/>
                <w:sz w:val="22"/>
                <w:szCs w:val="22"/>
              </w:rPr>
              <w:t>5</w:t>
            </w:r>
            <w:r w:rsidRPr="00F46685">
              <w:rPr>
                <w:rFonts w:eastAsia="Arial"/>
                <w:b/>
                <w:sz w:val="22"/>
                <w:szCs w:val="22"/>
              </w:rPr>
              <w:t xml:space="preserve"> (both inclusive)</w:t>
            </w:r>
            <w:r w:rsidRPr="00F46685" w:rsidR="00AE07A5">
              <w:rPr>
                <w:rFonts w:eastAsia="Arial"/>
                <w:b/>
                <w:sz w:val="22"/>
                <w:szCs w:val="22"/>
              </w:rPr>
              <w:t>, including those with SEND,</w:t>
            </w:r>
            <w:r w:rsidRPr="00F46685" w:rsidR="6A49148D">
              <w:rPr>
                <w:rFonts w:eastAsia="Arial"/>
                <w:b/>
                <w:sz w:val="22"/>
                <w:szCs w:val="22"/>
              </w:rPr>
              <w:t xml:space="preserve"> </w:t>
            </w:r>
            <w:r w:rsidRPr="00F46685" w:rsidR="4B9C7496">
              <w:rPr>
                <w:rFonts w:eastAsia="Arial"/>
                <w:b/>
                <w:sz w:val="22"/>
                <w:szCs w:val="22"/>
              </w:rPr>
              <w:t>within</w:t>
            </w:r>
            <w:r w:rsidRPr="00F46685" w:rsidR="00F46685">
              <w:rPr>
                <w:rFonts w:eastAsia="Arial"/>
                <w:b/>
                <w:sz w:val="22"/>
                <w:szCs w:val="22"/>
              </w:rPr>
              <w:t xml:space="preserve"> the </w:t>
            </w:r>
            <w:r w:rsidR="00532C42">
              <w:rPr>
                <w:rFonts w:eastAsia="Arial"/>
                <w:b/>
                <w:sz w:val="22"/>
                <w:szCs w:val="22"/>
              </w:rPr>
              <w:t xml:space="preserve">Lower </w:t>
            </w:r>
            <w:r w:rsidRPr="00F46685" w:rsidR="00F46685">
              <w:rPr>
                <w:rFonts w:eastAsia="Arial"/>
                <w:b/>
                <w:sz w:val="22"/>
                <w:szCs w:val="22"/>
              </w:rPr>
              <w:t xml:space="preserve">Nazing ward. </w:t>
            </w:r>
          </w:p>
          <w:p w:rsidR="00532C42" w:rsidP="000063F4" w:rsidRDefault="00532C42" w14:paraId="6660F638" w14:textId="399F104F">
            <w:pPr>
              <w:spacing w:before="360" w:after="480"/>
              <w:rPr>
                <w:rFonts w:eastAsia="Arial"/>
                <w:b/>
                <w:sz w:val="22"/>
                <w:szCs w:val="22"/>
              </w:rPr>
            </w:pPr>
            <w:r>
              <w:rPr>
                <w:rFonts w:eastAsia="Arial"/>
                <w:b/>
                <w:sz w:val="22"/>
                <w:szCs w:val="22"/>
              </w:rPr>
              <w:t>AND</w:t>
            </w:r>
          </w:p>
          <w:p w:rsidR="00532C42" w:rsidP="000063F4" w:rsidRDefault="00532C42" w14:paraId="6DA1557C" w14:textId="6052B511">
            <w:pPr>
              <w:spacing w:before="360" w:after="480"/>
              <w:rPr>
                <w:rFonts w:eastAsia="Arial"/>
                <w:b/>
                <w:sz w:val="22"/>
                <w:szCs w:val="22"/>
              </w:rPr>
            </w:pPr>
            <w:r w:rsidRPr="00532C42">
              <w:rPr>
                <w:rFonts w:eastAsia="Arial"/>
                <w:b/>
                <w:sz w:val="22"/>
                <w:szCs w:val="22"/>
              </w:rPr>
              <w:t>“Early years and childcare purposes” means the provision of facilities for the education and/or care of children between age 0-5 (both inclusive), including those with SEND, within the Lower Nazing war</w:t>
            </w:r>
            <w:r>
              <w:rPr>
                <w:rFonts w:eastAsia="Arial"/>
                <w:b/>
                <w:sz w:val="22"/>
                <w:szCs w:val="22"/>
              </w:rPr>
              <w:t>d OR within 3 miles of the development (</w:t>
            </w:r>
            <w:r w:rsidRPr="00B0525A" w:rsidR="00B0525A">
              <w:rPr>
                <w:rFonts w:eastAsia="Arial"/>
                <w:b/>
                <w:sz w:val="22"/>
                <w:szCs w:val="22"/>
              </w:rPr>
              <w:t>EN9 2RW</w:t>
            </w:r>
            <w:r w:rsidR="00B0525A">
              <w:rPr>
                <w:rFonts w:eastAsia="Arial"/>
                <w:b/>
                <w:sz w:val="22"/>
                <w:szCs w:val="22"/>
              </w:rPr>
              <w:t>).</w:t>
            </w:r>
          </w:p>
          <w:p w:rsidR="00B0525A" w:rsidP="000063F4" w:rsidRDefault="00B0525A" w14:paraId="746BD559" w14:textId="23B7B10D">
            <w:pPr>
              <w:spacing w:before="360" w:after="480"/>
              <w:rPr>
                <w:rFonts w:eastAsia="Arial"/>
                <w:b/>
                <w:sz w:val="22"/>
                <w:szCs w:val="22"/>
              </w:rPr>
            </w:pPr>
            <w:r>
              <w:rPr>
                <w:rFonts w:eastAsia="Arial"/>
                <w:b/>
                <w:sz w:val="22"/>
                <w:szCs w:val="22"/>
              </w:rPr>
              <w:t>AND</w:t>
            </w:r>
          </w:p>
          <w:p w:rsidRPr="00F46685" w:rsidR="00B0525A" w:rsidP="000063F4" w:rsidRDefault="00B0525A" w14:paraId="55B7E8C4" w14:textId="76753645">
            <w:pPr>
              <w:spacing w:before="360" w:after="480"/>
              <w:rPr>
                <w:rFonts w:eastAsia="Arial"/>
                <w:b/>
                <w:sz w:val="22"/>
                <w:szCs w:val="22"/>
              </w:rPr>
            </w:pPr>
            <w:r w:rsidRPr="00B0525A">
              <w:rPr>
                <w:rFonts w:eastAsia="Arial"/>
                <w:b/>
                <w:sz w:val="22"/>
                <w:szCs w:val="22"/>
              </w:rPr>
              <w:t xml:space="preserve">“Early years and childcare purposes” means the provision of facilities for the education and/or care of children between age 0-5 (both inclusive), including those with SEND, within 3 miles of the development (EN9 </w:t>
            </w:r>
            <w:r>
              <w:rPr>
                <w:rFonts w:eastAsia="Arial"/>
                <w:b/>
                <w:sz w:val="22"/>
                <w:szCs w:val="22"/>
              </w:rPr>
              <w:t>2NY</w:t>
            </w:r>
            <w:r w:rsidRPr="00B0525A">
              <w:rPr>
                <w:rFonts w:eastAsia="Arial"/>
                <w:b/>
                <w:sz w:val="22"/>
                <w:szCs w:val="22"/>
              </w:rPr>
              <w:t>).</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lastRenderedPageBreak/>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r w:rsidRPr="00A53945">
        <w:rPr>
          <w:rFonts w:eastAsia="Arial"/>
          <w:sz w:val="22"/>
          <w:szCs w:val="22"/>
          <w:lang w:eastAsia="en-GB"/>
        </w:rPr>
        <w:t>5.</w:t>
      </w:r>
      <w:r w:rsidRPr="00A53945" w:rsidR="006F5DAB">
        <w:rPr>
          <w:rFonts w:eastAsia="Arial"/>
          <w:sz w:val="22"/>
          <w:szCs w:val="22"/>
          <w:lang w:eastAsia="en-GB"/>
        </w:rPr>
        <w:t>1  Regulation</w:t>
      </w:r>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5B2" w:rsidP="006A52F1" w:rsidRDefault="007835B2" w14:paraId="3494F6A3" w14:textId="77777777">
      <w:pPr>
        <w:spacing w:after="0" w:line="240" w:lineRule="auto"/>
      </w:pPr>
      <w:r>
        <w:separator/>
      </w:r>
    </w:p>
  </w:endnote>
  <w:endnote w:type="continuationSeparator" w:id="0">
    <w:p w:rsidR="007835B2" w:rsidP="006A52F1" w:rsidRDefault="007835B2" w14:paraId="4BB14787" w14:textId="77777777">
      <w:pPr>
        <w:spacing w:after="0" w:line="240" w:lineRule="auto"/>
      </w:pPr>
      <w:r>
        <w:continuationSeparator/>
      </w:r>
    </w:p>
  </w:endnote>
  <w:endnote w:type="continuationNotice" w:id="1">
    <w:p w:rsidR="007835B2" w:rsidRDefault="007835B2" w14:paraId="266AE2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5B2" w:rsidP="006A52F1" w:rsidRDefault="007835B2" w14:paraId="18D63894" w14:textId="77777777">
      <w:pPr>
        <w:spacing w:after="0" w:line="240" w:lineRule="auto"/>
      </w:pPr>
      <w:r>
        <w:separator/>
      </w:r>
    </w:p>
  </w:footnote>
  <w:footnote w:type="continuationSeparator" w:id="0">
    <w:p w:rsidR="007835B2" w:rsidP="006A52F1" w:rsidRDefault="007835B2" w14:paraId="16948FF6" w14:textId="77777777">
      <w:pPr>
        <w:spacing w:after="0" w:line="240" w:lineRule="auto"/>
      </w:pPr>
      <w:r>
        <w:continuationSeparator/>
      </w:r>
    </w:p>
  </w:footnote>
  <w:footnote w:type="continuationNotice" w:id="1">
    <w:p w:rsidR="007835B2" w:rsidRDefault="007835B2" w14:paraId="72F92D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4" style="width:11.25pt;height:11.2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4FB4"/>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0609"/>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061E6"/>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6D0"/>
    <w:rsid w:val="00277B64"/>
    <w:rsid w:val="00282101"/>
    <w:rsid w:val="00282E0D"/>
    <w:rsid w:val="0028424C"/>
    <w:rsid w:val="002971D3"/>
    <w:rsid w:val="002A1B5C"/>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2B6A"/>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3871"/>
    <w:rsid w:val="004646A5"/>
    <w:rsid w:val="004730D1"/>
    <w:rsid w:val="00473206"/>
    <w:rsid w:val="0047372D"/>
    <w:rsid w:val="00476788"/>
    <w:rsid w:val="00477E43"/>
    <w:rsid w:val="0048359B"/>
    <w:rsid w:val="00485C10"/>
    <w:rsid w:val="00486DA4"/>
    <w:rsid w:val="00491E58"/>
    <w:rsid w:val="004A11AA"/>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4E1C"/>
    <w:rsid w:val="00506A44"/>
    <w:rsid w:val="005078FB"/>
    <w:rsid w:val="0051205A"/>
    <w:rsid w:val="005125C4"/>
    <w:rsid w:val="005129AD"/>
    <w:rsid w:val="00512FCF"/>
    <w:rsid w:val="00515744"/>
    <w:rsid w:val="00515ECB"/>
    <w:rsid w:val="00516A85"/>
    <w:rsid w:val="00525B32"/>
    <w:rsid w:val="00530D8C"/>
    <w:rsid w:val="00532AD8"/>
    <w:rsid w:val="00532C42"/>
    <w:rsid w:val="00533767"/>
    <w:rsid w:val="00545638"/>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160D"/>
    <w:rsid w:val="00753AF1"/>
    <w:rsid w:val="00756D32"/>
    <w:rsid w:val="007570A5"/>
    <w:rsid w:val="0075E2AC"/>
    <w:rsid w:val="00763838"/>
    <w:rsid w:val="007727B5"/>
    <w:rsid w:val="00774C0A"/>
    <w:rsid w:val="00782FFF"/>
    <w:rsid w:val="007835B2"/>
    <w:rsid w:val="00784D46"/>
    <w:rsid w:val="00784F0B"/>
    <w:rsid w:val="00790374"/>
    <w:rsid w:val="00793166"/>
    <w:rsid w:val="00794312"/>
    <w:rsid w:val="007963C8"/>
    <w:rsid w:val="007A27E0"/>
    <w:rsid w:val="007A30CC"/>
    <w:rsid w:val="007A42D0"/>
    <w:rsid w:val="007B3511"/>
    <w:rsid w:val="007B389C"/>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308B3"/>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1AC4"/>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3966"/>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0525A"/>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5CE6"/>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7426"/>
    <w:rsid w:val="00E6BB25"/>
    <w:rsid w:val="00E7216C"/>
    <w:rsid w:val="00E800BF"/>
    <w:rsid w:val="00E815B2"/>
    <w:rsid w:val="00E8214B"/>
    <w:rsid w:val="00E82EBB"/>
    <w:rsid w:val="00E9138D"/>
    <w:rsid w:val="00E93D33"/>
    <w:rsid w:val="00E94524"/>
    <w:rsid w:val="00E96113"/>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348"/>
    <w:rsid w:val="00EE474D"/>
    <w:rsid w:val="00EF0E18"/>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46685"/>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52A01B"/>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22</cp:revision>
  <cp:lastPrinted>2015-12-11T04:53:00Z</cp:lastPrinted>
  <dcterms:created xsi:type="dcterms:W3CDTF">2025-12-18T16:06:00Z</dcterms:created>
  <dcterms:modified xsi:type="dcterms:W3CDTF">2025-12-22T16:19:02Z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